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FE" w:rsidRPr="00646E0C" w:rsidRDefault="003234FE" w:rsidP="003234FE">
      <w:pPr>
        <w:widowControl w:val="0"/>
        <w:pBdr>
          <w:top w:val="nil"/>
          <w:left w:val="nil"/>
          <w:bottom w:val="nil"/>
          <w:right w:val="nil"/>
          <w:between w:val="nil"/>
        </w:pBdr>
        <w:spacing w:before="151" w:line="240" w:lineRule="auto"/>
        <w:rPr>
          <w:i/>
          <w:color w:val="231F20"/>
        </w:rPr>
      </w:pPr>
      <w:r w:rsidRPr="00646E0C">
        <w:rPr>
          <w:i/>
          <w:color w:val="231F20"/>
        </w:rPr>
        <w:t xml:space="preserve">Cite this paper as: </w:t>
      </w:r>
    </w:p>
    <w:p w:rsidR="003234FE" w:rsidRPr="00646E0C" w:rsidRDefault="003234FE" w:rsidP="003234FE">
      <w:pPr>
        <w:widowControl w:val="0"/>
        <w:pBdr>
          <w:top w:val="nil"/>
          <w:left w:val="nil"/>
          <w:bottom w:val="nil"/>
          <w:right w:val="nil"/>
          <w:between w:val="nil"/>
        </w:pBdr>
        <w:spacing w:line="222" w:lineRule="auto"/>
        <w:rPr>
          <w:color w:val="231F20"/>
        </w:rPr>
      </w:pPr>
      <w:r w:rsidRPr="00646E0C">
        <w:rPr>
          <w:color w:val="231F20"/>
        </w:rPr>
        <w:t xml:space="preserve">Boydak, M., 2019. A new  subspecies of </w:t>
      </w:r>
      <w:r w:rsidRPr="00646E0C">
        <w:rPr>
          <w:i/>
          <w:color w:val="231F20"/>
        </w:rPr>
        <w:t xml:space="preserve">Phoenix  theophrasti </w:t>
      </w:r>
      <w:r w:rsidRPr="00646E0C">
        <w:rPr>
          <w:color w:val="231F20"/>
        </w:rPr>
        <w:t xml:space="preserve">Greuter  </w:t>
      </w:r>
    </w:p>
    <w:p w:rsidR="003234FE" w:rsidRPr="00646E0C" w:rsidRDefault="003234FE" w:rsidP="003234FE">
      <w:pPr>
        <w:widowControl w:val="0"/>
        <w:pBdr>
          <w:top w:val="nil"/>
          <w:left w:val="nil"/>
          <w:bottom w:val="nil"/>
          <w:right w:val="nil"/>
          <w:between w:val="nil"/>
        </w:pBdr>
        <w:spacing w:before="3" w:line="240" w:lineRule="auto"/>
        <w:rPr>
          <w:i/>
          <w:color w:val="231F20"/>
        </w:rPr>
      </w:pPr>
      <w:r w:rsidRPr="00646E0C">
        <w:rPr>
          <w:color w:val="231F20"/>
        </w:rPr>
        <w:t>(</w:t>
      </w:r>
      <w:r w:rsidRPr="00646E0C">
        <w:rPr>
          <w:i/>
          <w:color w:val="231F20"/>
        </w:rPr>
        <w:t xml:space="preserve">Phoenix theophrasti </w:t>
      </w:r>
    </w:p>
    <w:p w:rsidR="003234FE" w:rsidRPr="00646E0C" w:rsidRDefault="003234FE" w:rsidP="003234FE">
      <w:pPr>
        <w:widowControl w:val="0"/>
        <w:pBdr>
          <w:top w:val="nil"/>
          <w:left w:val="nil"/>
          <w:bottom w:val="nil"/>
          <w:right w:val="nil"/>
          <w:between w:val="nil"/>
        </w:pBdr>
        <w:spacing w:line="222" w:lineRule="auto"/>
        <w:rPr>
          <w:color w:val="231F20"/>
        </w:rPr>
      </w:pPr>
      <w:r w:rsidRPr="00646E0C">
        <w:rPr>
          <w:color w:val="231F20"/>
        </w:rPr>
        <w:t xml:space="preserve">Greuter subsp. </w:t>
      </w:r>
      <w:r w:rsidRPr="00646E0C">
        <w:rPr>
          <w:i/>
          <w:color w:val="231F20"/>
        </w:rPr>
        <w:t xml:space="preserve">golkoyana </w:t>
      </w:r>
      <w:r w:rsidRPr="00646E0C">
        <w:rPr>
          <w:color w:val="231F20"/>
        </w:rPr>
        <w:t xml:space="preserve">Boydak) from Turkey.  </w:t>
      </w:r>
      <w:r w:rsidRPr="00646E0C">
        <w:rPr>
          <w:i/>
          <w:color w:val="231F20"/>
        </w:rPr>
        <w:t xml:space="preserve">Forestist </w:t>
      </w:r>
      <w:r w:rsidRPr="00646E0C">
        <w:rPr>
          <w:color w:val="231F20"/>
        </w:rPr>
        <w:t xml:space="preserve">69(2): 133-144. </w:t>
      </w:r>
    </w:p>
    <w:p w:rsidR="003234FE" w:rsidRPr="00646E0C" w:rsidRDefault="003234FE" w:rsidP="003234FE">
      <w:pPr>
        <w:rPr>
          <w:sz w:val="28"/>
          <w:szCs w:val="28"/>
        </w:rPr>
      </w:pPr>
      <w:bookmarkStart w:id="0" w:name="_GoBack"/>
      <w:bookmarkEnd w:id="0"/>
    </w:p>
    <w:p w:rsidR="00646E0C" w:rsidRPr="00646E0C" w:rsidRDefault="00646E0C" w:rsidP="00646E0C">
      <w:pPr>
        <w:widowControl w:val="0"/>
        <w:pBdr>
          <w:top w:val="nil"/>
          <w:left w:val="nil"/>
          <w:bottom w:val="nil"/>
          <w:right w:val="nil"/>
          <w:between w:val="nil"/>
        </w:pBdr>
        <w:spacing w:line="237" w:lineRule="auto"/>
        <w:rPr>
          <w:i/>
          <w:color w:val="231F20"/>
          <w:sz w:val="28"/>
          <w:szCs w:val="28"/>
        </w:rPr>
      </w:pPr>
    </w:p>
    <w:p w:rsidR="00646E0C" w:rsidRPr="00646E0C" w:rsidRDefault="00646E0C" w:rsidP="00646E0C">
      <w:pPr>
        <w:widowControl w:val="0"/>
        <w:pBdr>
          <w:top w:val="nil"/>
          <w:left w:val="nil"/>
          <w:bottom w:val="nil"/>
          <w:right w:val="nil"/>
          <w:between w:val="nil"/>
        </w:pBdr>
        <w:spacing w:before="114" w:line="240" w:lineRule="auto"/>
        <w:rPr>
          <w:color w:val="000000" w:themeColor="text1"/>
          <w:sz w:val="28"/>
          <w:szCs w:val="28"/>
        </w:rPr>
      </w:pPr>
      <w:r w:rsidRPr="00646E0C">
        <w:rPr>
          <w:color w:val="000000" w:themeColor="text1"/>
          <w:sz w:val="28"/>
          <w:szCs w:val="28"/>
        </w:rPr>
        <w:t>Bodrum-Gölköy</w:t>
      </w:r>
      <w:r w:rsidRPr="00646E0C">
        <w:rPr>
          <w:i/>
          <w:color w:val="000000" w:themeColor="text1"/>
          <w:sz w:val="28"/>
          <w:szCs w:val="28"/>
        </w:rPr>
        <w:t xml:space="preserve">, Phoenix theophrasti, </w:t>
      </w:r>
      <w:r w:rsidRPr="00646E0C">
        <w:rPr>
          <w:color w:val="000000" w:themeColor="text1"/>
          <w:sz w:val="28"/>
          <w:szCs w:val="28"/>
        </w:rPr>
        <w:t xml:space="preserve">yeni bir alttür </w:t>
      </w:r>
    </w:p>
    <w:p w:rsidR="00646E0C" w:rsidRPr="00646E0C" w:rsidRDefault="00646E0C" w:rsidP="00646E0C">
      <w:pPr>
        <w:widowControl w:val="0"/>
        <w:pBdr>
          <w:top w:val="nil"/>
          <w:left w:val="nil"/>
          <w:bottom w:val="nil"/>
          <w:right w:val="nil"/>
          <w:between w:val="nil"/>
        </w:pBdr>
        <w:spacing w:line="237" w:lineRule="auto"/>
        <w:rPr>
          <w:i/>
          <w:color w:val="231F20"/>
          <w:sz w:val="28"/>
          <w:szCs w:val="28"/>
        </w:rPr>
      </w:pPr>
    </w:p>
    <w:p w:rsidR="00646E0C" w:rsidRDefault="00646E0C" w:rsidP="00646E0C">
      <w:pPr>
        <w:widowControl w:val="0"/>
        <w:pBdr>
          <w:top w:val="nil"/>
          <w:left w:val="nil"/>
          <w:bottom w:val="nil"/>
          <w:right w:val="nil"/>
          <w:between w:val="nil"/>
        </w:pBdr>
        <w:spacing w:line="237" w:lineRule="auto"/>
        <w:rPr>
          <w:i/>
          <w:color w:val="231F20"/>
          <w:sz w:val="28"/>
          <w:szCs w:val="28"/>
        </w:rPr>
      </w:pPr>
    </w:p>
    <w:p w:rsidR="00646E0C" w:rsidRDefault="00646E0C" w:rsidP="00646E0C">
      <w:pPr>
        <w:widowControl w:val="0"/>
        <w:pBdr>
          <w:top w:val="nil"/>
          <w:left w:val="nil"/>
          <w:bottom w:val="nil"/>
          <w:right w:val="nil"/>
          <w:between w:val="nil"/>
        </w:pBdr>
        <w:spacing w:line="237" w:lineRule="auto"/>
        <w:rPr>
          <w:i/>
          <w:color w:val="231F20"/>
          <w:sz w:val="28"/>
          <w:szCs w:val="28"/>
        </w:rPr>
      </w:pPr>
      <w:r w:rsidRPr="00646E0C">
        <w:rPr>
          <w:i/>
          <w:color w:val="231F20"/>
          <w:sz w:val="28"/>
          <w:szCs w:val="28"/>
        </w:rPr>
        <w:t xml:space="preserve">Bu makale kapsamında Türkiye’de yeni bir alttür tanımlanmıştır (Phoenix theophrasti Greuter subsp. golkoyana Boydak). Ege Bölgesi, Bodrum-Gölköy’de doğal olarak bulunan ve “Gölköy Phoenix </w:t>
      </w:r>
      <w:r>
        <w:rPr>
          <w:i/>
          <w:color w:val="231F20"/>
          <w:sz w:val="28"/>
          <w:szCs w:val="28"/>
        </w:rPr>
        <w:t>populasyonu” olarak adlan</w:t>
      </w:r>
      <w:r w:rsidRPr="00646E0C">
        <w:rPr>
          <w:i/>
          <w:color w:val="231F20"/>
          <w:sz w:val="28"/>
          <w:szCs w:val="28"/>
        </w:rPr>
        <w:t xml:space="preserve">dırılan tanımlanmamış bu takson, Gölköy halkı tarafından yüzlerce yıldan beri bilinmekteydi. </w:t>
      </w:r>
    </w:p>
    <w:p w:rsidR="00646E0C" w:rsidRPr="00646E0C" w:rsidRDefault="00646E0C" w:rsidP="00646E0C">
      <w:pPr>
        <w:widowControl w:val="0"/>
        <w:pBdr>
          <w:top w:val="nil"/>
          <w:left w:val="nil"/>
          <w:bottom w:val="nil"/>
          <w:right w:val="nil"/>
          <w:between w:val="nil"/>
        </w:pBdr>
        <w:spacing w:line="237" w:lineRule="auto"/>
        <w:rPr>
          <w:i/>
          <w:color w:val="231F20"/>
          <w:sz w:val="28"/>
          <w:szCs w:val="28"/>
        </w:rPr>
      </w:pPr>
      <w:r w:rsidRPr="00646E0C">
        <w:rPr>
          <w:i/>
          <w:color w:val="231F20"/>
          <w:sz w:val="28"/>
          <w:szCs w:val="28"/>
        </w:rPr>
        <w:t>Gölköy Phoenix populasyonu Phoenix theophrasti türünün bir temsilcisi olarak kabul ediliyordu. Bu makalenin yazarı, Gölköy’e  yaptığı çok sayıdaki bilimsel gezinin, 1990 yılının erken yazında yaptığı ilkinde, Gölköy Phoenix populasyonu, P.</w:t>
      </w:r>
      <w:r>
        <w:rPr>
          <w:i/>
          <w:color w:val="231F20"/>
          <w:sz w:val="28"/>
          <w:szCs w:val="28"/>
        </w:rPr>
        <w:t xml:space="preserve"> </w:t>
      </w:r>
      <w:r w:rsidRPr="00646E0C">
        <w:rPr>
          <w:i/>
          <w:color w:val="231F20"/>
          <w:sz w:val="28"/>
          <w:szCs w:val="28"/>
        </w:rPr>
        <w:t xml:space="preserve">theophrasti </w:t>
      </w:r>
      <w:r w:rsidRPr="00646E0C">
        <w:rPr>
          <w:color w:val="231F20"/>
          <w:sz w:val="28"/>
          <w:szCs w:val="28"/>
        </w:rPr>
        <w:t xml:space="preserve">Greuter and </w:t>
      </w:r>
      <w:r w:rsidRPr="00646E0C">
        <w:rPr>
          <w:i/>
          <w:color w:val="231F20"/>
          <w:sz w:val="28"/>
          <w:szCs w:val="28"/>
        </w:rPr>
        <w:t xml:space="preserve">P. dactylifera </w:t>
      </w:r>
      <w:r w:rsidRPr="00646E0C">
        <w:rPr>
          <w:color w:val="231F20"/>
          <w:sz w:val="28"/>
          <w:szCs w:val="28"/>
        </w:rPr>
        <w:t>L. arasında önemli farklılıklar olduğunu gözlemledi. Yazar konuyu aydın</w:t>
      </w:r>
      <w:r>
        <w:rPr>
          <w:color w:val="231F20"/>
          <w:sz w:val="28"/>
          <w:szCs w:val="28"/>
        </w:rPr>
        <w:t>-</w:t>
      </w:r>
      <w:r w:rsidRPr="00646E0C">
        <w:rPr>
          <w:color w:val="231F20"/>
          <w:sz w:val="28"/>
          <w:szCs w:val="28"/>
        </w:rPr>
        <w:t xml:space="preserve"> latmak için uzun yıllar bu takson ile ilgili çalışmalara devam etti. 2015 ve 2018 yıllarında, ülkemizde doğal olarak  bulunan üç </w:t>
      </w:r>
      <w:r w:rsidRPr="00646E0C">
        <w:rPr>
          <w:i/>
          <w:color w:val="231F20"/>
          <w:sz w:val="28"/>
          <w:szCs w:val="28"/>
        </w:rPr>
        <w:t>P. theophr</w:t>
      </w:r>
      <w:r>
        <w:rPr>
          <w:i/>
          <w:color w:val="231F20"/>
          <w:sz w:val="28"/>
          <w:szCs w:val="28"/>
        </w:rPr>
        <w:t>a</w:t>
      </w:r>
      <w:r w:rsidRPr="00646E0C">
        <w:rPr>
          <w:i/>
          <w:color w:val="231F20"/>
          <w:sz w:val="28"/>
          <w:szCs w:val="28"/>
        </w:rPr>
        <w:t xml:space="preserve">sti </w:t>
      </w:r>
      <w:r w:rsidRPr="00646E0C">
        <w:rPr>
          <w:color w:val="231F20"/>
          <w:sz w:val="28"/>
          <w:szCs w:val="28"/>
        </w:rPr>
        <w:t xml:space="preserve">populasyonu ile Gölköy </w:t>
      </w:r>
      <w:r w:rsidRPr="00646E0C">
        <w:rPr>
          <w:i/>
          <w:color w:val="231F20"/>
          <w:sz w:val="28"/>
          <w:szCs w:val="28"/>
        </w:rPr>
        <w:t xml:space="preserve">Phoenix </w:t>
      </w:r>
      <w:r w:rsidRPr="00646E0C">
        <w:rPr>
          <w:color w:val="231F20"/>
          <w:sz w:val="28"/>
          <w:szCs w:val="28"/>
        </w:rPr>
        <w:t>popula</w:t>
      </w:r>
      <w:r>
        <w:rPr>
          <w:color w:val="231F20"/>
          <w:sz w:val="28"/>
          <w:szCs w:val="28"/>
        </w:rPr>
        <w:t>s</w:t>
      </w:r>
      <w:r w:rsidRPr="00646E0C">
        <w:rPr>
          <w:color w:val="231F20"/>
          <w:sz w:val="28"/>
          <w:szCs w:val="28"/>
        </w:rPr>
        <w:t xml:space="preserve">yonuna iki bilimsel gezi daha yaptı. Gölköy  </w:t>
      </w:r>
      <w:r w:rsidRPr="00646E0C">
        <w:rPr>
          <w:i/>
          <w:color w:val="231F20"/>
          <w:sz w:val="28"/>
          <w:szCs w:val="28"/>
        </w:rPr>
        <w:t xml:space="preserve">Phoenix </w:t>
      </w:r>
      <w:r w:rsidRPr="00646E0C">
        <w:rPr>
          <w:color w:val="231F20"/>
          <w:sz w:val="28"/>
          <w:szCs w:val="28"/>
        </w:rPr>
        <w:t xml:space="preserve">populasyonu, </w:t>
      </w:r>
      <w:r w:rsidRPr="00646E0C">
        <w:rPr>
          <w:i/>
          <w:color w:val="231F20"/>
          <w:sz w:val="28"/>
          <w:szCs w:val="28"/>
        </w:rPr>
        <w:t xml:space="preserve">P. theophrasti, </w:t>
      </w:r>
      <w:r w:rsidRPr="00646E0C">
        <w:rPr>
          <w:color w:val="231F20"/>
          <w:sz w:val="28"/>
          <w:szCs w:val="28"/>
        </w:rPr>
        <w:t xml:space="preserve">ve </w:t>
      </w:r>
      <w:r w:rsidRPr="00646E0C">
        <w:rPr>
          <w:i/>
          <w:color w:val="231F20"/>
          <w:sz w:val="28"/>
          <w:szCs w:val="28"/>
        </w:rPr>
        <w:t xml:space="preserve">P. dactylifera </w:t>
      </w:r>
      <w:r w:rsidRPr="00646E0C">
        <w:rPr>
          <w:color w:val="231F20"/>
          <w:sz w:val="28"/>
          <w:szCs w:val="28"/>
        </w:rPr>
        <w:t xml:space="preserve">arasında belirgin farklılıklar gösteren morfolojik özellikler  üzerinde ölçmeler ve gözlemler yapıldı. Bunlar erkek çiçek sapları ve meyva saplarının uzunlukları ile bazı  meyva ve tohum özelliklerini kapsamaktadır. Sonuçlar, “Gölköy </w:t>
      </w:r>
      <w:r w:rsidRPr="00646E0C">
        <w:rPr>
          <w:i/>
          <w:color w:val="231F20"/>
          <w:sz w:val="28"/>
          <w:szCs w:val="28"/>
        </w:rPr>
        <w:t xml:space="preserve">Phoenix </w:t>
      </w:r>
      <w:r w:rsidRPr="00646E0C">
        <w:rPr>
          <w:color w:val="231F20"/>
          <w:sz w:val="28"/>
          <w:szCs w:val="28"/>
        </w:rPr>
        <w:t xml:space="preserve">populayonu”nun bazı özgün ve farklı  morfolojik özellikleri nedeniyle, onun yeni bir alttür olarak tanımlanmaya layık olduğunu ortaya koydu. </w:t>
      </w:r>
      <w:r>
        <w:rPr>
          <w:i/>
          <w:color w:val="231F20"/>
          <w:sz w:val="28"/>
          <w:szCs w:val="28"/>
        </w:rPr>
        <w:t>“Phoe</w:t>
      </w:r>
      <w:r w:rsidRPr="00646E0C">
        <w:rPr>
          <w:i/>
          <w:color w:val="231F20"/>
          <w:sz w:val="28"/>
          <w:szCs w:val="28"/>
        </w:rPr>
        <w:t xml:space="preserve">nix theophrasti </w:t>
      </w:r>
      <w:r w:rsidRPr="00646E0C">
        <w:rPr>
          <w:color w:val="231F20"/>
          <w:sz w:val="28"/>
          <w:szCs w:val="28"/>
        </w:rPr>
        <w:t xml:space="preserve">Greuter subsp. </w:t>
      </w:r>
      <w:r w:rsidRPr="00646E0C">
        <w:rPr>
          <w:i/>
          <w:color w:val="231F20"/>
          <w:sz w:val="28"/>
          <w:szCs w:val="28"/>
        </w:rPr>
        <w:t xml:space="preserve">golkoyana </w:t>
      </w:r>
      <w:r w:rsidRPr="00646E0C">
        <w:rPr>
          <w:color w:val="231F20"/>
          <w:sz w:val="28"/>
          <w:szCs w:val="28"/>
        </w:rPr>
        <w:t xml:space="preserve">Boydak”, </w:t>
      </w:r>
      <w:r w:rsidRPr="00646E0C">
        <w:rPr>
          <w:i/>
          <w:color w:val="231F20"/>
          <w:sz w:val="28"/>
          <w:szCs w:val="28"/>
        </w:rPr>
        <w:t xml:space="preserve">P. theophrasti </w:t>
      </w:r>
      <w:r w:rsidRPr="00646E0C">
        <w:rPr>
          <w:color w:val="231F20"/>
          <w:sz w:val="28"/>
          <w:szCs w:val="28"/>
        </w:rPr>
        <w:t xml:space="preserve">Greuter türünden daha uzun meyva sapları ve  daha uzun erkek çiçek sapları, meyva saplarının marjinal olarak daha fazla meyva tutmaları, tohumlarının çok  az belirli olan tohum kabuğu dokusu, daha derin ve daha geniş tohum oluğu ile ayrılmaktadır.  </w:t>
      </w:r>
    </w:p>
    <w:p w:rsidR="00646E0C" w:rsidRPr="00646E0C" w:rsidRDefault="00646E0C" w:rsidP="00646E0C">
      <w:pPr>
        <w:widowControl w:val="0"/>
        <w:pBdr>
          <w:top w:val="nil"/>
          <w:left w:val="nil"/>
          <w:bottom w:val="nil"/>
          <w:right w:val="nil"/>
          <w:between w:val="nil"/>
        </w:pBdr>
        <w:spacing w:before="114" w:line="240" w:lineRule="auto"/>
        <w:rPr>
          <w:color w:val="231F20"/>
          <w:sz w:val="28"/>
          <w:szCs w:val="28"/>
        </w:rPr>
      </w:pPr>
    </w:p>
    <w:p w:rsidR="00646E0C" w:rsidRPr="00646E0C" w:rsidRDefault="00646E0C">
      <w:pPr>
        <w:rPr>
          <w:sz w:val="28"/>
          <w:szCs w:val="28"/>
        </w:rPr>
      </w:pPr>
    </w:p>
    <w:sectPr w:rsidR="00646E0C" w:rsidRPr="00646E0C" w:rsidSect="001A0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646E0C"/>
    <w:rsid w:val="00123C67"/>
    <w:rsid w:val="001A023E"/>
    <w:rsid w:val="003234FE"/>
    <w:rsid w:val="00646E0C"/>
    <w:rsid w:val="00971A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E0C"/>
    <w:pPr>
      <w:spacing w:after="0" w:line="276" w:lineRule="auto"/>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2021-04-20T09:43:00Z</dcterms:created>
  <dcterms:modified xsi:type="dcterms:W3CDTF">2021-04-20T09:43:00Z</dcterms:modified>
</cp:coreProperties>
</file>